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西安文理学院2021年度线上一流课程认定名单</w:t>
      </w:r>
    </w:p>
    <w:tbl>
      <w:tblPr>
        <w:tblStyle w:val="2"/>
        <w:tblW w:w="1398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565"/>
        <w:gridCol w:w="2655"/>
        <w:gridCol w:w="1995"/>
        <w:gridCol w:w="3269"/>
        <w:gridCol w:w="2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课程名称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课程负责人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团队成员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历史文化旅游学院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中国现代史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张天社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郝延军、李喜霞、王兰兰、王筱宁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曹莹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 秦岭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环境工程制图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赵敏娟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杨建军、王亚妮、申圆圆、李肖肖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苏哲斌、段勇花、梁晓茹、韩彬玲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健身减压与形体修塑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查毅、贾锐、秦娟娟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</w:tr>
    </w:tbl>
    <w:p>
      <w:pPr>
        <w:ind w:firstLine="5120" w:firstLineChars="1600"/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4AF10E2A"/>
    <w:rsid w:val="68A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2021-04-22T07:14:38Z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3478E65E152F4BD6B88BF18B752CF99A</vt:lpwstr>
  </property>
</Properties>
</file>